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B61" w:rsidRDefault="008C1B61" w:rsidP="008C1B61">
      <w:pPr>
        <w:jc w:val="center"/>
        <w:rPr>
          <w:rFonts w:ascii="Verdana" w:hAnsi="Verdana"/>
          <w:b/>
          <w:color w:val="000000"/>
        </w:rPr>
      </w:pPr>
    </w:p>
    <w:p w:rsidR="00916896" w:rsidRDefault="00916896" w:rsidP="008C1B61">
      <w:pPr>
        <w:jc w:val="center"/>
        <w:rPr>
          <w:rFonts w:ascii="Verdana" w:hAnsi="Verdana"/>
          <w:b/>
          <w:color w:val="000000"/>
        </w:rPr>
      </w:pPr>
    </w:p>
    <w:p w:rsidR="008C1B61" w:rsidRPr="00AB056E" w:rsidRDefault="008C1B61" w:rsidP="008C1B61">
      <w:pPr>
        <w:jc w:val="center"/>
        <w:rPr>
          <w:rFonts w:ascii="Verdana" w:hAnsi="Verdana"/>
          <w:b/>
          <w:color w:val="000000"/>
          <w:sz w:val="22"/>
          <w:szCs w:val="22"/>
        </w:rPr>
      </w:pPr>
      <w:r w:rsidRPr="00AB056E">
        <w:rPr>
          <w:rFonts w:ascii="Verdana" w:hAnsi="Verdana"/>
          <w:b/>
          <w:color w:val="000000"/>
          <w:sz w:val="22"/>
          <w:szCs w:val="22"/>
        </w:rPr>
        <w:t>L</w:t>
      </w:r>
      <w:r>
        <w:rPr>
          <w:rFonts w:ascii="Verdana" w:hAnsi="Verdana"/>
          <w:b/>
          <w:color w:val="000000"/>
          <w:sz w:val="22"/>
          <w:szCs w:val="22"/>
        </w:rPr>
        <w:t>A</w:t>
      </w:r>
      <w:r w:rsidRPr="00AB056E">
        <w:rPr>
          <w:rFonts w:ascii="Verdana" w:hAnsi="Verdana"/>
          <w:b/>
          <w:color w:val="000000"/>
          <w:sz w:val="22"/>
          <w:szCs w:val="22"/>
        </w:rPr>
        <w:t xml:space="preserve"> DIRECTOR</w:t>
      </w:r>
      <w:r>
        <w:rPr>
          <w:rFonts w:ascii="Verdana" w:hAnsi="Verdana"/>
          <w:b/>
          <w:color w:val="000000"/>
          <w:sz w:val="22"/>
          <w:szCs w:val="22"/>
        </w:rPr>
        <w:t>A</w:t>
      </w:r>
      <w:r w:rsidRPr="00AB056E">
        <w:rPr>
          <w:rFonts w:ascii="Verdana" w:hAnsi="Verdana"/>
          <w:b/>
          <w:color w:val="000000"/>
          <w:sz w:val="22"/>
          <w:szCs w:val="22"/>
        </w:rPr>
        <w:t xml:space="preserve"> DEL DEPARTAMENTO ADMINISTRATIVO PARA LA PROSPERIDAD SOCIAL </w:t>
      </w:r>
    </w:p>
    <w:p w:rsidR="008C1B61" w:rsidRDefault="008C1B61" w:rsidP="008C1B61">
      <w:pPr>
        <w:jc w:val="center"/>
        <w:rPr>
          <w:rFonts w:ascii="Verdana" w:hAnsi="Verdana"/>
          <w:b/>
          <w:color w:val="000000"/>
          <w:sz w:val="22"/>
          <w:szCs w:val="22"/>
        </w:rPr>
      </w:pPr>
    </w:p>
    <w:p w:rsidR="00916896" w:rsidRPr="00AB056E" w:rsidRDefault="00916896" w:rsidP="008C1B61">
      <w:pPr>
        <w:jc w:val="center"/>
        <w:rPr>
          <w:rFonts w:ascii="Verdana" w:hAnsi="Verdana"/>
          <w:b/>
          <w:color w:val="000000"/>
          <w:sz w:val="22"/>
          <w:szCs w:val="22"/>
        </w:rPr>
      </w:pPr>
    </w:p>
    <w:p w:rsidR="008C1B61" w:rsidRPr="00AB056E" w:rsidRDefault="008C1B61" w:rsidP="008C1B61">
      <w:pPr>
        <w:jc w:val="center"/>
        <w:rPr>
          <w:rFonts w:ascii="Verdana" w:hAnsi="Verdana"/>
          <w:color w:val="000000"/>
          <w:sz w:val="22"/>
          <w:szCs w:val="22"/>
        </w:rPr>
      </w:pPr>
      <w:r w:rsidRPr="00AB056E">
        <w:rPr>
          <w:rFonts w:ascii="Verdana" w:hAnsi="Verdana"/>
          <w:color w:val="000000"/>
          <w:sz w:val="22"/>
          <w:szCs w:val="22"/>
        </w:rPr>
        <w:t xml:space="preserve">En ejercicio de sus facultades constitucionales y legales, en especial las conferidas por los artículos 209 y 211 de la Constitución Política, artículos 9 a 12 de la Ley 489 de 1998, el numeral 3 del artículo 10 del Decreto 2094 de 2016, y </w:t>
      </w:r>
    </w:p>
    <w:p w:rsidR="008C1B61" w:rsidRDefault="008C1B61" w:rsidP="008C1B61">
      <w:pPr>
        <w:jc w:val="center"/>
        <w:rPr>
          <w:rFonts w:ascii="Verdana" w:hAnsi="Verdana"/>
          <w:color w:val="000000"/>
          <w:sz w:val="22"/>
          <w:szCs w:val="22"/>
        </w:rPr>
      </w:pPr>
    </w:p>
    <w:p w:rsidR="00916896" w:rsidRPr="00AB056E" w:rsidRDefault="00916896" w:rsidP="008C1B61">
      <w:pPr>
        <w:jc w:val="center"/>
        <w:rPr>
          <w:rFonts w:ascii="Verdana" w:hAnsi="Verdana"/>
          <w:color w:val="000000"/>
          <w:sz w:val="22"/>
          <w:szCs w:val="22"/>
        </w:rPr>
      </w:pPr>
    </w:p>
    <w:p w:rsidR="008C1B61" w:rsidRPr="00AB056E" w:rsidRDefault="008C1B61" w:rsidP="008C1B61">
      <w:pPr>
        <w:jc w:val="center"/>
        <w:rPr>
          <w:rFonts w:ascii="Verdana" w:hAnsi="Verdana"/>
          <w:b/>
          <w:color w:val="000000"/>
          <w:sz w:val="22"/>
          <w:szCs w:val="22"/>
        </w:rPr>
      </w:pPr>
      <w:r w:rsidRPr="00AB056E">
        <w:rPr>
          <w:rFonts w:ascii="Verdana" w:hAnsi="Verdana"/>
          <w:b/>
          <w:color w:val="000000"/>
          <w:sz w:val="22"/>
          <w:szCs w:val="22"/>
        </w:rPr>
        <w:t>CONSIDERANDO</w:t>
      </w:r>
    </w:p>
    <w:p w:rsidR="008C1B61" w:rsidRDefault="008C1B61" w:rsidP="008C1B61">
      <w:pPr>
        <w:adjustRightInd w:val="0"/>
        <w:jc w:val="both"/>
        <w:rPr>
          <w:rFonts w:ascii="Verdana" w:hAnsi="Verdana"/>
          <w:color w:val="000000"/>
          <w:sz w:val="22"/>
          <w:szCs w:val="22"/>
        </w:rPr>
      </w:pPr>
    </w:p>
    <w:p w:rsidR="00916896" w:rsidRPr="00AB056E" w:rsidRDefault="00916896" w:rsidP="008C1B61">
      <w:pPr>
        <w:adjustRightInd w:val="0"/>
        <w:jc w:val="both"/>
        <w:rPr>
          <w:rFonts w:ascii="Verdana" w:hAnsi="Verdana"/>
          <w:color w:val="000000"/>
          <w:sz w:val="22"/>
          <w:szCs w:val="22"/>
        </w:rPr>
      </w:pPr>
    </w:p>
    <w:p w:rsidR="008C1B61" w:rsidRPr="00AB056E" w:rsidRDefault="008C1B61" w:rsidP="008C1B61">
      <w:pPr>
        <w:adjustRightInd w:val="0"/>
        <w:jc w:val="both"/>
        <w:rPr>
          <w:rFonts w:ascii="Verdana" w:hAnsi="Verdana"/>
          <w:i/>
          <w:color w:val="000000"/>
          <w:sz w:val="22"/>
          <w:szCs w:val="22"/>
        </w:rPr>
      </w:pPr>
      <w:r w:rsidRPr="00AB056E">
        <w:rPr>
          <w:rFonts w:ascii="Verdana" w:hAnsi="Verdana"/>
          <w:color w:val="000000"/>
          <w:sz w:val="22"/>
          <w:szCs w:val="22"/>
        </w:rPr>
        <w:t xml:space="preserve">Que de conformidad con lo establecido en el artículo 209 de la Constitución Política, </w:t>
      </w:r>
      <w:r w:rsidRPr="00AB056E">
        <w:rPr>
          <w:rFonts w:ascii="Verdana" w:hAnsi="Verdana"/>
          <w:i/>
          <w:color w:val="000000"/>
          <w:sz w:val="22"/>
          <w:szCs w:val="22"/>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rsidR="008C1B61" w:rsidRPr="00AB056E" w:rsidRDefault="008C1B61" w:rsidP="008C1B61">
      <w:pPr>
        <w:adjustRightInd w:val="0"/>
        <w:jc w:val="both"/>
        <w:rPr>
          <w:rFonts w:ascii="Verdana" w:hAnsi="Verdana"/>
          <w:color w:val="000000"/>
          <w:sz w:val="22"/>
          <w:szCs w:val="22"/>
        </w:rPr>
      </w:pPr>
    </w:p>
    <w:p w:rsidR="008C1B61" w:rsidRPr="00AB056E" w:rsidRDefault="008C1B61" w:rsidP="008C1B61">
      <w:pPr>
        <w:adjustRightInd w:val="0"/>
        <w:jc w:val="both"/>
        <w:rPr>
          <w:rFonts w:ascii="Verdana" w:hAnsi="Verdana"/>
          <w:color w:val="000000"/>
          <w:sz w:val="22"/>
          <w:szCs w:val="22"/>
        </w:rPr>
      </w:pPr>
      <w:r w:rsidRPr="00AB056E">
        <w:rPr>
          <w:rFonts w:ascii="Verdana" w:hAnsi="Verdana"/>
          <w:color w:val="000000"/>
          <w:sz w:val="22"/>
          <w:szCs w:val="22"/>
        </w:rPr>
        <w:t>Que el artículo 211 de la Constitución Política determina que la ley fijará las condiciones para que las autoridades administrativas puedan delegar en sus subalternos o en otras autoridades.</w:t>
      </w:r>
    </w:p>
    <w:p w:rsidR="008C1B61" w:rsidRPr="00AB056E" w:rsidRDefault="008C1B61" w:rsidP="008C1B61">
      <w:pPr>
        <w:adjustRightInd w:val="0"/>
        <w:jc w:val="both"/>
        <w:rPr>
          <w:rFonts w:ascii="Verdana" w:hAnsi="Verdana"/>
          <w:color w:val="000000"/>
          <w:sz w:val="22"/>
          <w:szCs w:val="22"/>
        </w:rPr>
      </w:pPr>
    </w:p>
    <w:p w:rsidR="008C1B61" w:rsidRPr="00AB056E" w:rsidRDefault="008C1B61" w:rsidP="008C1B61">
      <w:pPr>
        <w:adjustRightInd w:val="0"/>
        <w:jc w:val="both"/>
        <w:rPr>
          <w:rFonts w:ascii="Verdana" w:hAnsi="Verdana"/>
          <w:color w:val="000000"/>
          <w:sz w:val="22"/>
          <w:szCs w:val="22"/>
        </w:rPr>
      </w:pPr>
      <w:r w:rsidRPr="00AB056E">
        <w:rPr>
          <w:rFonts w:ascii="Verdana" w:hAnsi="Verdana"/>
          <w:color w:val="000000"/>
          <w:sz w:val="22"/>
          <w:szCs w:val="22"/>
        </w:rPr>
        <w:t>Que la Ley 489 de 1998, en el artículo 9, consagra que "</w:t>
      </w:r>
      <w:r w:rsidRPr="00AB056E">
        <w:rPr>
          <w:rFonts w:ascii="Verdana" w:hAnsi="Verdana"/>
          <w:i/>
          <w:color w:val="000000"/>
          <w:sz w:val="22"/>
          <w:szCs w:val="22"/>
        </w:rPr>
        <w:t>Las autoridades administrativas, en virtud de lo dispuesto en la Constitución Política y de conformidad con la presente ley, podrán mediante acto de delegación, transferir el ejercicio de funciones a sus colaboradores o a otras autoridades con funciones afines o complementarias</w:t>
      </w:r>
      <w:r w:rsidRPr="00AB056E">
        <w:rPr>
          <w:rFonts w:ascii="Verdana" w:hAnsi="Verdana"/>
          <w:color w:val="000000"/>
          <w:sz w:val="22"/>
          <w:szCs w:val="22"/>
        </w:rPr>
        <w:t>".</w:t>
      </w:r>
    </w:p>
    <w:p w:rsidR="008C1B61" w:rsidRPr="00AB056E" w:rsidRDefault="008C1B61" w:rsidP="008C1B61">
      <w:pPr>
        <w:adjustRightInd w:val="0"/>
        <w:jc w:val="both"/>
        <w:rPr>
          <w:rFonts w:ascii="Verdana" w:hAnsi="Verdana"/>
          <w:color w:val="000000"/>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Que el mismo artículo faculta a los representantes legales de las entidades para delegar la atención y decisión de los asuntos a ellos confiados por la ley, en los empleados públicos de los niveles directivo y asesor vinculados al organismo correspondiente, con el propósito de cumplir con los principios de la función administrativa enunciados en el artículo 209 de la Constitución Política y en la misma ley.</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Que conforme al artículo 10 de la Ley 489 de 1998, el representante legal de la entidad deberá mantenerse informado en todo momento sobre el desarrollo de las delegaciones otorgadas.</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Que el artículo 9 del Decreto 2094 de 2016 determina la estructura interna del Departamento Administrativa para la Prosperidad Social, en cuya cabeza se encuentra el Director.</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013CBD">
        <w:rPr>
          <w:rFonts w:ascii="Verdana" w:hAnsi="Verdana"/>
          <w:sz w:val="22"/>
          <w:szCs w:val="22"/>
        </w:rPr>
        <w:t xml:space="preserve">Que </w:t>
      </w:r>
      <w:r w:rsidR="00013CBD" w:rsidRPr="00013CBD">
        <w:rPr>
          <w:rFonts w:ascii="Verdana" w:hAnsi="Verdana"/>
          <w:sz w:val="22"/>
          <w:szCs w:val="22"/>
        </w:rPr>
        <w:t>e</w:t>
      </w:r>
      <w:r w:rsidRPr="00013CBD">
        <w:rPr>
          <w:rFonts w:ascii="Verdana" w:hAnsi="Verdana"/>
          <w:sz w:val="22"/>
          <w:szCs w:val="22"/>
        </w:rPr>
        <w:t xml:space="preserve">l artículo </w:t>
      </w:r>
      <w:r w:rsidR="00013CBD" w:rsidRPr="00013CBD">
        <w:rPr>
          <w:rFonts w:ascii="Verdana" w:hAnsi="Verdana"/>
          <w:sz w:val="22"/>
          <w:szCs w:val="22"/>
        </w:rPr>
        <w:t>38</w:t>
      </w:r>
      <w:r w:rsidRPr="00013CBD">
        <w:rPr>
          <w:rFonts w:ascii="Verdana" w:hAnsi="Verdana"/>
          <w:sz w:val="22"/>
          <w:szCs w:val="22"/>
        </w:rPr>
        <w:t xml:space="preserve"> de la Ley 18</w:t>
      </w:r>
      <w:r w:rsidR="00013CBD" w:rsidRPr="00013CBD">
        <w:rPr>
          <w:rFonts w:ascii="Verdana" w:hAnsi="Verdana"/>
          <w:sz w:val="22"/>
          <w:szCs w:val="22"/>
        </w:rPr>
        <w:t>73</w:t>
      </w:r>
      <w:r w:rsidRPr="00013CBD">
        <w:rPr>
          <w:rFonts w:ascii="Verdana" w:hAnsi="Verdana"/>
          <w:sz w:val="22"/>
          <w:szCs w:val="22"/>
        </w:rPr>
        <w:t xml:space="preserve"> de 201</w:t>
      </w:r>
      <w:r w:rsidR="00013CBD" w:rsidRPr="00013CBD">
        <w:rPr>
          <w:rFonts w:ascii="Verdana" w:hAnsi="Verdana"/>
          <w:sz w:val="22"/>
          <w:szCs w:val="22"/>
        </w:rPr>
        <w:t>7</w:t>
      </w:r>
      <w:r w:rsidRPr="00013CBD">
        <w:rPr>
          <w:rFonts w:ascii="Verdana" w:hAnsi="Verdana"/>
          <w:sz w:val="22"/>
          <w:szCs w:val="22"/>
        </w:rPr>
        <w:t xml:space="preserve"> “</w:t>
      </w:r>
      <w:r w:rsidRPr="00013CBD">
        <w:rPr>
          <w:rFonts w:ascii="Verdana" w:hAnsi="Verdana"/>
          <w:i/>
          <w:sz w:val="22"/>
          <w:szCs w:val="22"/>
        </w:rPr>
        <w:t>Por la cual se decreta el presupuesto de rentas y recursos de capital y ley de apropiaciones para la vigencia fiscal del 1o. de enero al 31 de diciembre de 201</w:t>
      </w:r>
      <w:r w:rsidR="00013CBD" w:rsidRPr="00013CBD">
        <w:rPr>
          <w:rFonts w:ascii="Verdana" w:hAnsi="Verdana"/>
          <w:i/>
          <w:sz w:val="22"/>
          <w:szCs w:val="22"/>
        </w:rPr>
        <w:t>8</w:t>
      </w:r>
      <w:r w:rsidRPr="00013CBD">
        <w:rPr>
          <w:rFonts w:ascii="Verdana" w:hAnsi="Verdana"/>
          <w:sz w:val="22"/>
          <w:szCs w:val="22"/>
        </w:rPr>
        <w:t>”, establece que los órganos que conforman el Presupuesto General de la Nación, pagarán los fallos de tutela con cargo al rubro al que corresponda a la naturaleza del negocio fallado.</w:t>
      </w:r>
      <w:r w:rsidRPr="00AB056E">
        <w:rPr>
          <w:rFonts w:ascii="Verdana" w:hAnsi="Verdana"/>
          <w:sz w:val="22"/>
          <w:szCs w:val="22"/>
        </w:rPr>
        <w:t xml:space="preserve"> </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 xml:space="preserve">Que el Departamento Administrativo para la Prosperidad Social debe asumir la defensa judicial de las acciones constitucionales, procesos judiciales, contenciosos administrativos, ordinarios y administrativos que le sean notificados relacionados con los temas de su competencia. </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Que en el marco de los principios de la función administrativa y de conformidad con las funciones específicas asignadas por el Decreto 2094 de 2016 a cada una de las direcciones técnicas, se hace necesario delegar el cumplimiento de las órdenes judiciales que se profieran dentro de las acciones constitucionales promovidas en contra de la Entidad</w:t>
      </w:r>
      <w:r w:rsidR="009A5478">
        <w:rPr>
          <w:rFonts w:ascii="Verdana" w:hAnsi="Verdana"/>
          <w:sz w:val="22"/>
          <w:szCs w:val="22"/>
        </w:rPr>
        <w:t xml:space="preserve"> así como en los fallos expedidos en el marco del proceso de restitución de tierras regulado </w:t>
      </w:r>
      <w:r w:rsidR="0065171C">
        <w:rPr>
          <w:rFonts w:ascii="Verdana" w:hAnsi="Verdana"/>
          <w:sz w:val="22"/>
          <w:szCs w:val="22"/>
        </w:rPr>
        <w:t>por</w:t>
      </w:r>
      <w:r w:rsidR="009A5478">
        <w:rPr>
          <w:rFonts w:ascii="Verdana" w:hAnsi="Verdana"/>
          <w:sz w:val="22"/>
          <w:szCs w:val="22"/>
        </w:rPr>
        <w:t xml:space="preserve"> la Ley </w:t>
      </w:r>
      <w:r w:rsidR="0065171C">
        <w:rPr>
          <w:rFonts w:ascii="Verdana" w:hAnsi="Verdana"/>
          <w:sz w:val="22"/>
          <w:szCs w:val="22"/>
        </w:rPr>
        <w:t>1448 de 2011, en los que resulte vinculada Prosperidad Social</w:t>
      </w:r>
      <w:r w:rsidRPr="00AB056E">
        <w:rPr>
          <w:rFonts w:ascii="Verdana" w:hAnsi="Verdana"/>
          <w:sz w:val="22"/>
          <w:szCs w:val="22"/>
        </w:rPr>
        <w:t xml:space="preserve">, en las Direcciones Técnicas de Gestión y Articulación de Oferta Social y de </w:t>
      </w:r>
      <w:r w:rsidRPr="00AB056E">
        <w:rPr>
          <w:rFonts w:ascii="Verdana" w:hAnsi="Verdana"/>
          <w:sz w:val="22"/>
          <w:szCs w:val="22"/>
        </w:rPr>
        <w:lastRenderedPageBreak/>
        <w:t>Acompañamiento Familiar y Comunitario, cuyo superior jerárquico es l</w:t>
      </w:r>
      <w:r w:rsidR="00DF2FDD">
        <w:rPr>
          <w:rFonts w:ascii="Verdana" w:hAnsi="Verdana"/>
          <w:sz w:val="22"/>
          <w:szCs w:val="22"/>
        </w:rPr>
        <w:t>a</w:t>
      </w:r>
      <w:r w:rsidRPr="00AB056E">
        <w:rPr>
          <w:rFonts w:ascii="Verdana" w:hAnsi="Verdana"/>
          <w:sz w:val="22"/>
          <w:szCs w:val="22"/>
        </w:rPr>
        <w:t xml:space="preserve"> Subdirec</w:t>
      </w:r>
      <w:r w:rsidR="00DF2FDD">
        <w:rPr>
          <w:rFonts w:ascii="Verdana" w:hAnsi="Verdana"/>
          <w:sz w:val="22"/>
          <w:szCs w:val="22"/>
        </w:rPr>
        <w:t>ción</w:t>
      </w:r>
      <w:r w:rsidRPr="00AB056E">
        <w:rPr>
          <w:rFonts w:ascii="Verdana" w:hAnsi="Verdana"/>
          <w:sz w:val="22"/>
          <w:szCs w:val="22"/>
        </w:rPr>
        <w:t xml:space="preserve"> General para la Superación de la Pobreza; en las Direcciones de Transferencias Monetarias Condicionadas, de Inclusión Productiva y de Infraestructura Social y Hábitat, cuyo superior jerárquico es l</w:t>
      </w:r>
      <w:r w:rsidR="00DF2FDD">
        <w:rPr>
          <w:rFonts w:ascii="Verdana" w:hAnsi="Verdana"/>
          <w:sz w:val="22"/>
          <w:szCs w:val="22"/>
        </w:rPr>
        <w:t>a</w:t>
      </w:r>
      <w:r w:rsidRPr="00AB056E">
        <w:rPr>
          <w:rFonts w:ascii="Verdana" w:hAnsi="Verdana"/>
          <w:sz w:val="22"/>
          <w:szCs w:val="22"/>
        </w:rPr>
        <w:t xml:space="preserve"> Subdirec</w:t>
      </w:r>
      <w:r w:rsidR="00DF2FDD">
        <w:rPr>
          <w:rFonts w:ascii="Verdana" w:hAnsi="Verdana"/>
          <w:sz w:val="22"/>
          <w:szCs w:val="22"/>
        </w:rPr>
        <w:t>ción General</w:t>
      </w:r>
      <w:r w:rsidRPr="00AB056E">
        <w:rPr>
          <w:rFonts w:ascii="Verdana" w:hAnsi="Verdana"/>
          <w:sz w:val="22"/>
          <w:szCs w:val="22"/>
        </w:rPr>
        <w:t xml:space="preserve"> de Programas y Proyectos; así como en las Subdirecciones de Contratación, de Operaciones, Financiera y de Talento Humano, cuyo superior jerárquico es l</w:t>
      </w:r>
      <w:r w:rsidR="00DF2FDD">
        <w:rPr>
          <w:rFonts w:ascii="Verdana" w:hAnsi="Verdana"/>
          <w:sz w:val="22"/>
          <w:szCs w:val="22"/>
        </w:rPr>
        <w:t>a</w:t>
      </w:r>
      <w:r w:rsidRPr="00AB056E">
        <w:rPr>
          <w:rFonts w:ascii="Verdana" w:hAnsi="Verdana"/>
          <w:sz w:val="22"/>
          <w:szCs w:val="22"/>
        </w:rPr>
        <w:t xml:space="preserve"> Secretar</w:t>
      </w:r>
      <w:r w:rsidR="00DF2FDD">
        <w:rPr>
          <w:rFonts w:ascii="Verdana" w:hAnsi="Verdana"/>
          <w:sz w:val="22"/>
          <w:szCs w:val="22"/>
        </w:rPr>
        <w:t>ía</w:t>
      </w:r>
      <w:r w:rsidRPr="00AB056E">
        <w:rPr>
          <w:rFonts w:ascii="Verdana" w:hAnsi="Verdana"/>
          <w:sz w:val="22"/>
          <w:szCs w:val="22"/>
        </w:rPr>
        <w:t xml:space="preserve"> General. </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color w:val="000000"/>
          <w:sz w:val="22"/>
          <w:szCs w:val="22"/>
        </w:rPr>
      </w:pPr>
      <w:r>
        <w:rPr>
          <w:rFonts w:ascii="Verdana" w:hAnsi="Verdana"/>
          <w:color w:val="000000"/>
          <w:sz w:val="22"/>
          <w:szCs w:val="22"/>
        </w:rPr>
        <w:t>Que e</w:t>
      </w:r>
      <w:r w:rsidRPr="00AB056E">
        <w:rPr>
          <w:rFonts w:ascii="Verdana" w:hAnsi="Verdana"/>
          <w:color w:val="000000"/>
          <w:sz w:val="22"/>
          <w:szCs w:val="22"/>
        </w:rPr>
        <w:t xml:space="preserve">n mérito de lo expuesto, </w:t>
      </w:r>
    </w:p>
    <w:p w:rsidR="00916896" w:rsidRDefault="00916896" w:rsidP="008C1B61">
      <w:pPr>
        <w:adjustRightInd w:val="0"/>
        <w:jc w:val="center"/>
        <w:rPr>
          <w:rFonts w:ascii="Verdana" w:hAnsi="Verdana"/>
          <w:b/>
          <w:color w:val="000000"/>
          <w:sz w:val="22"/>
          <w:szCs w:val="22"/>
        </w:rPr>
      </w:pPr>
    </w:p>
    <w:p w:rsidR="008C1B61" w:rsidRDefault="008C1B61" w:rsidP="008C1B61">
      <w:pPr>
        <w:adjustRightInd w:val="0"/>
        <w:jc w:val="center"/>
        <w:rPr>
          <w:rFonts w:ascii="Verdana" w:hAnsi="Verdana"/>
          <w:b/>
          <w:color w:val="000000"/>
          <w:sz w:val="22"/>
          <w:szCs w:val="22"/>
        </w:rPr>
      </w:pPr>
      <w:r w:rsidRPr="00AB056E">
        <w:rPr>
          <w:rFonts w:ascii="Verdana" w:hAnsi="Verdana"/>
          <w:b/>
          <w:color w:val="000000"/>
          <w:sz w:val="22"/>
          <w:szCs w:val="22"/>
        </w:rPr>
        <w:t>RESUELVE</w:t>
      </w:r>
    </w:p>
    <w:p w:rsidR="008C1B61" w:rsidRDefault="008C1B61" w:rsidP="008C1B61">
      <w:pPr>
        <w:adjustRightInd w:val="0"/>
        <w:jc w:val="center"/>
        <w:rPr>
          <w:rFonts w:ascii="Verdana" w:hAnsi="Verdana"/>
          <w:b/>
          <w:color w:val="000000"/>
          <w:sz w:val="24"/>
          <w:szCs w:val="22"/>
        </w:rPr>
      </w:pPr>
    </w:p>
    <w:p w:rsidR="00916896" w:rsidRPr="00891106" w:rsidRDefault="00916896" w:rsidP="008C1B61">
      <w:pPr>
        <w:adjustRightInd w:val="0"/>
        <w:jc w:val="center"/>
        <w:rPr>
          <w:rFonts w:ascii="Verdana" w:hAnsi="Verdana"/>
          <w:b/>
          <w:color w:val="000000"/>
          <w:sz w:val="24"/>
          <w:szCs w:val="22"/>
        </w:rPr>
      </w:pPr>
    </w:p>
    <w:p w:rsidR="008C1B61" w:rsidRPr="00AB056E" w:rsidRDefault="008C1B61" w:rsidP="008C1B61">
      <w:pPr>
        <w:adjustRightInd w:val="0"/>
        <w:jc w:val="both"/>
        <w:rPr>
          <w:rFonts w:ascii="Verdana" w:hAnsi="Verdana"/>
          <w:sz w:val="22"/>
          <w:szCs w:val="22"/>
        </w:rPr>
      </w:pPr>
      <w:r w:rsidRPr="00AB056E">
        <w:rPr>
          <w:rFonts w:ascii="Verdana" w:hAnsi="Verdana"/>
          <w:b/>
          <w:color w:val="000000"/>
          <w:sz w:val="22"/>
          <w:szCs w:val="22"/>
        </w:rPr>
        <w:t xml:space="preserve">Artículo 1. </w:t>
      </w:r>
      <w:r w:rsidRPr="00AB056E">
        <w:rPr>
          <w:rFonts w:ascii="Verdana" w:hAnsi="Verdana"/>
          <w:color w:val="000000"/>
          <w:sz w:val="22"/>
          <w:szCs w:val="22"/>
        </w:rPr>
        <w:t xml:space="preserve">Delegar en los Directores Técnicos de </w:t>
      </w:r>
      <w:r w:rsidRPr="00AB056E">
        <w:rPr>
          <w:rFonts w:ascii="Verdana" w:hAnsi="Verdana"/>
          <w:sz w:val="22"/>
          <w:szCs w:val="22"/>
        </w:rPr>
        <w:t>Gestión y Articulación de Oferta Social y de Acompañamiento Familiar y Comunitario, en el marco de sus funciones y competencias, la gestión, atención y cumplimiento de las órdenes judiciales</w:t>
      </w:r>
      <w:r w:rsidR="0065171C">
        <w:rPr>
          <w:rFonts w:ascii="Verdana" w:hAnsi="Verdana"/>
          <w:sz w:val="22"/>
          <w:szCs w:val="22"/>
        </w:rPr>
        <w:t xml:space="preserve"> </w:t>
      </w:r>
      <w:r w:rsidR="0065171C" w:rsidRPr="00AB056E">
        <w:rPr>
          <w:rFonts w:ascii="Verdana" w:hAnsi="Verdana"/>
          <w:sz w:val="22"/>
          <w:szCs w:val="22"/>
        </w:rPr>
        <w:t>en contra del Departamento Administrativo para</w:t>
      </w:r>
      <w:r w:rsidR="00EE18E3">
        <w:rPr>
          <w:rFonts w:ascii="Verdana" w:hAnsi="Verdana"/>
          <w:sz w:val="22"/>
          <w:szCs w:val="22"/>
        </w:rPr>
        <w:t xml:space="preserve"> la</w:t>
      </w:r>
      <w:r w:rsidR="0065171C" w:rsidRPr="00AB056E">
        <w:rPr>
          <w:rFonts w:ascii="Verdana" w:hAnsi="Verdana"/>
          <w:sz w:val="22"/>
          <w:szCs w:val="22"/>
        </w:rPr>
        <w:t xml:space="preserve"> Prosperidad Social</w:t>
      </w:r>
      <w:r w:rsidRPr="00AB056E">
        <w:rPr>
          <w:rFonts w:ascii="Verdana" w:hAnsi="Verdana"/>
          <w:sz w:val="22"/>
          <w:szCs w:val="22"/>
        </w:rPr>
        <w:t xml:space="preserve"> proferidas dentro de las acciones constitucionales</w:t>
      </w:r>
      <w:r w:rsidR="0065171C">
        <w:rPr>
          <w:rFonts w:ascii="Verdana" w:hAnsi="Verdana"/>
          <w:sz w:val="22"/>
          <w:szCs w:val="22"/>
        </w:rPr>
        <w:t xml:space="preserve"> así como en los fallos expedidos en el marco del proceso de restitución de tierras regulado por la Ley 1448 de 2011</w:t>
      </w:r>
      <w:r w:rsidRPr="00AB056E">
        <w:rPr>
          <w:rFonts w:ascii="Verdana" w:hAnsi="Verdana"/>
          <w:sz w:val="22"/>
          <w:szCs w:val="22"/>
        </w:rPr>
        <w:t>.</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Pr>
          <w:rFonts w:ascii="Verdana" w:hAnsi="Verdana"/>
          <w:b/>
          <w:sz w:val="22"/>
          <w:szCs w:val="22"/>
        </w:rPr>
        <w:t xml:space="preserve">Parágrafo. </w:t>
      </w:r>
      <w:r w:rsidRPr="00AB056E">
        <w:rPr>
          <w:rFonts w:ascii="Verdana" w:hAnsi="Verdana"/>
          <w:sz w:val="22"/>
          <w:szCs w:val="22"/>
        </w:rPr>
        <w:t xml:space="preserve">El superior jerárquico de las autoridades enunciadas en el presente artículo </w:t>
      </w:r>
      <w:r>
        <w:rPr>
          <w:rFonts w:ascii="Verdana" w:hAnsi="Verdana"/>
          <w:sz w:val="22"/>
          <w:szCs w:val="22"/>
        </w:rPr>
        <w:t xml:space="preserve">es </w:t>
      </w:r>
      <w:r w:rsidRPr="00AB056E">
        <w:rPr>
          <w:rFonts w:ascii="Verdana" w:hAnsi="Verdana"/>
          <w:sz w:val="22"/>
          <w:szCs w:val="22"/>
        </w:rPr>
        <w:t>l</w:t>
      </w:r>
      <w:r w:rsidR="00DF2FDD">
        <w:rPr>
          <w:rFonts w:ascii="Verdana" w:hAnsi="Verdana"/>
          <w:sz w:val="22"/>
          <w:szCs w:val="22"/>
        </w:rPr>
        <w:t>a</w:t>
      </w:r>
      <w:r w:rsidRPr="00AB056E">
        <w:rPr>
          <w:rFonts w:ascii="Verdana" w:hAnsi="Verdana"/>
          <w:sz w:val="22"/>
          <w:szCs w:val="22"/>
        </w:rPr>
        <w:t xml:space="preserve"> Subdirec</w:t>
      </w:r>
      <w:r w:rsidR="00DF2FDD">
        <w:rPr>
          <w:rFonts w:ascii="Verdana" w:hAnsi="Verdana"/>
          <w:sz w:val="22"/>
          <w:szCs w:val="22"/>
        </w:rPr>
        <w:t>ción</w:t>
      </w:r>
      <w:r w:rsidRPr="00AB056E">
        <w:rPr>
          <w:rFonts w:ascii="Verdana" w:hAnsi="Verdana"/>
          <w:sz w:val="22"/>
          <w:szCs w:val="22"/>
        </w:rPr>
        <w:t xml:space="preserve"> General para la Superación de la Pobreza, responsable del seguimiento y control del cumplimiento de las órdenes judiciales por parte de los delegatarios. </w:t>
      </w:r>
    </w:p>
    <w:p w:rsidR="008C1B61" w:rsidRPr="00AB056E" w:rsidRDefault="008C1B61" w:rsidP="008C1B61">
      <w:pPr>
        <w:adjustRightInd w:val="0"/>
        <w:jc w:val="both"/>
        <w:rPr>
          <w:rFonts w:ascii="Verdana" w:hAnsi="Verdana"/>
          <w:b/>
          <w:color w:val="000000"/>
          <w:sz w:val="22"/>
          <w:szCs w:val="22"/>
          <w:lang w:eastAsia="es-CO"/>
        </w:rPr>
      </w:pPr>
    </w:p>
    <w:p w:rsidR="008C1B61" w:rsidRPr="00AB056E" w:rsidRDefault="008C1B61" w:rsidP="008C1B61">
      <w:pPr>
        <w:adjustRightInd w:val="0"/>
        <w:jc w:val="both"/>
        <w:rPr>
          <w:rFonts w:ascii="Verdana" w:hAnsi="Verdana"/>
          <w:sz w:val="22"/>
          <w:szCs w:val="22"/>
        </w:rPr>
      </w:pPr>
      <w:r w:rsidRPr="00AB056E">
        <w:rPr>
          <w:rFonts w:ascii="Verdana" w:hAnsi="Verdana"/>
          <w:b/>
          <w:color w:val="000000"/>
          <w:sz w:val="22"/>
          <w:szCs w:val="22"/>
        </w:rPr>
        <w:t xml:space="preserve">Artículo 2. </w:t>
      </w:r>
      <w:r w:rsidRPr="00AB056E">
        <w:rPr>
          <w:rFonts w:ascii="Verdana" w:hAnsi="Verdana"/>
          <w:color w:val="000000"/>
          <w:sz w:val="22"/>
          <w:szCs w:val="22"/>
        </w:rPr>
        <w:t xml:space="preserve">Delegar en los Directores Técnicos </w:t>
      </w:r>
      <w:r w:rsidRPr="00AB056E">
        <w:rPr>
          <w:rFonts w:ascii="Verdana" w:hAnsi="Verdana"/>
          <w:sz w:val="22"/>
          <w:szCs w:val="22"/>
        </w:rPr>
        <w:t>de Transferencias Monetarias Condicionadas, de Inclusión Productiva y de Infraestructura Social y Hábitat, en el marco de sus funciones y competencias, la atención y cumplimiento de l</w:t>
      </w:r>
      <w:bookmarkStart w:id="0" w:name="_GoBack"/>
      <w:bookmarkEnd w:id="0"/>
      <w:r w:rsidRPr="00AB056E">
        <w:rPr>
          <w:rFonts w:ascii="Verdana" w:hAnsi="Verdana"/>
          <w:sz w:val="22"/>
          <w:szCs w:val="22"/>
        </w:rPr>
        <w:t xml:space="preserve">as órdenes judiciales </w:t>
      </w:r>
      <w:r w:rsidR="0065171C" w:rsidRPr="00AB056E">
        <w:rPr>
          <w:rFonts w:ascii="Verdana" w:hAnsi="Verdana"/>
          <w:sz w:val="22"/>
          <w:szCs w:val="22"/>
        </w:rPr>
        <w:t>en contra del Departamento Administrativo para</w:t>
      </w:r>
      <w:r w:rsidR="00EE18E3">
        <w:rPr>
          <w:rFonts w:ascii="Verdana" w:hAnsi="Verdana"/>
          <w:sz w:val="22"/>
          <w:szCs w:val="22"/>
        </w:rPr>
        <w:t xml:space="preserve"> la</w:t>
      </w:r>
      <w:r w:rsidR="0065171C" w:rsidRPr="00AB056E">
        <w:rPr>
          <w:rFonts w:ascii="Verdana" w:hAnsi="Verdana"/>
          <w:sz w:val="22"/>
          <w:szCs w:val="22"/>
        </w:rPr>
        <w:t xml:space="preserve"> Prosperidad Social proferidas dentro de las acciones constitucionales</w:t>
      </w:r>
      <w:r w:rsidR="0065171C">
        <w:rPr>
          <w:rFonts w:ascii="Verdana" w:hAnsi="Verdana"/>
          <w:sz w:val="22"/>
          <w:szCs w:val="22"/>
        </w:rPr>
        <w:t xml:space="preserve"> así como en los fallos expedidos en el marco del proceso de restitución de tierras regulado por la Ley 1448 de 2011</w:t>
      </w:r>
      <w:r w:rsidR="0065171C" w:rsidRPr="00AB056E">
        <w:rPr>
          <w:rFonts w:ascii="Verdana" w:hAnsi="Verdana"/>
          <w:sz w:val="22"/>
          <w:szCs w:val="22"/>
        </w:rPr>
        <w:t>.</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Pr>
          <w:rFonts w:ascii="Verdana" w:hAnsi="Verdana"/>
          <w:b/>
          <w:sz w:val="22"/>
          <w:szCs w:val="22"/>
        </w:rPr>
        <w:t xml:space="preserve">Parágrafo. </w:t>
      </w:r>
      <w:r w:rsidRPr="008C3D1C">
        <w:rPr>
          <w:rFonts w:ascii="Verdana" w:hAnsi="Verdana"/>
          <w:sz w:val="22"/>
          <w:szCs w:val="22"/>
        </w:rPr>
        <w:t>E</w:t>
      </w:r>
      <w:r w:rsidRPr="00AB056E">
        <w:rPr>
          <w:rFonts w:ascii="Verdana" w:hAnsi="Verdana"/>
          <w:sz w:val="22"/>
          <w:szCs w:val="22"/>
        </w:rPr>
        <w:t xml:space="preserve">l superior jerárquico de las autoridades enunciadas en el presente artículo </w:t>
      </w:r>
      <w:r>
        <w:rPr>
          <w:rFonts w:ascii="Verdana" w:hAnsi="Verdana"/>
          <w:sz w:val="22"/>
          <w:szCs w:val="22"/>
        </w:rPr>
        <w:t xml:space="preserve">es </w:t>
      </w:r>
      <w:r w:rsidRPr="00AB056E">
        <w:rPr>
          <w:rFonts w:ascii="Verdana" w:hAnsi="Verdana"/>
          <w:sz w:val="22"/>
          <w:szCs w:val="22"/>
        </w:rPr>
        <w:t>l</w:t>
      </w:r>
      <w:r w:rsidR="00DF2FDD">
        <w:rPr>
          <w:rFonts w:ascii="Verdana" w:hAnsi="Verdana"/>
          <w:sz w:val="22"/>
          <w:szCs w:val="22"/>
        </w:rPr>
        <w:t>a</w:t>
      </w:r>
      <w:r w:rsidRPr="00AB056E">
        <w:rPr>
          <w:rFonts w:ascii="Verdana" w:hAnsi="Verdana"/>
          <w:sz w:val="22"/>
          <w:szCs w:val="22"/>
        </w:rPr>
        <w:t xml:space="preserve"> Subdirec</w:t>
      </w:r>
      <w:r w:rsidR="00DF2FDD">
        <w:rPr>
          <w:rFonts w:ascii="Verdana" w:hAnsi="Verdana"/>
          <w:sz w:val="22"/>
          <w:szCs w:val="22"/>
        </w:rPr>
        <w:t>ción</w:t>
      </w:r>
      <w:r w:rsidRPr="00AB056E">
        <w:rPr>
          <w:rFonts w:ascii="Verdana" w:hAnsi="Verdana"/>
          <w:sz w:val="22"/>
          <w:szCs w:val="22"/>
        </w:rPr>
        <w:t xml:space="preserve"> General de Programas y Proyectos, responsable del seguimiento y control del cumplimiento de las órdenes judiciales por parte de los delegatarios. </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sidRPr="00AB056E">
        <w:rPr>
          <w:rFonts w:ascii="Verdana" w:hAnsi="Verdana"/>
          <w:b/>
          <w:sz w:val="22"/>
          <w:szCs w:val="22"/>
        </w:rPr>
        <w:t xml:space="preserve">Artículo 3. </w:t>
      </w:r>
      <w:r w:rsidRPr="00AB056E">
        <w:rPr>
          <w:rFonts w:ascii="Verdana" w:hAnsi="Verdana"/>
          <w:color w:val="000000"/>
          <w:sz w:val="22"/>
          <w:szCs w:val="22"/>
        </w:rPr>
        <w:t xml:space="preserve">Delegar en los Subdirectores </w:t>
      </w:r>
      <w:r w:rsidRPr="00AB056E">
        <w:rPr>
          <w:rFonts w:ascii="Verdana" w:hAnsi="Verdana"/>
          <w:sz w:val="22"/>
          <w:szCs w:val="22"/>
        </w:rPr>
        <w:t>de Contratación, de Operaciones, Financiero y de Talento Humano, en el marco de sus funciones y competencias, la gestión, atención y cumplimiento de las órdenes judiciales proferidas dentro de las acciones constitucionales promovidas en contra del Departamento Administrativo para</w:t>
      </w:r>
      <w:r w:rsidR="00EE18E3">
        <w:rPr>
          <w:rFonts w:ascii="Verdana" w:hAnsi="Verdana"/>
          <w:sz w:val="22"/>
          <w:szCs w:val="22"/>
        </w:rPr>
        <w:t xml:space="preserve"> la</w:t>
      </w:r>
      <w:r w:rsidRPr="00AB056E">
        <w:rPr>
          <w:rFonts w:ascii="Verdana" w:hAnsi="Verdana"/>
          <w:sz w:val="22"/>
          <w:szCs w:val="22"/>
        </w:rPr>
        <w:t xml:space="preserve"> Prosperidad Social.</w:t>
      </w:r>
    </w:p>
    <w:p w:rsidR="008C1B61" w:rsidRPr="00AB056E" w:rsidRDefault="008C1B61" w:rsidP="008C1B61">
      <w:pPr>
        <w:adjustRightInd w:val="0"/>
        <w:jc w:val="both"/>
        <w:rPr>
          <w:rFonts w:ascii="Verdana" w:hAnsi="Verdana"/>
          <w:sz w:val="22"/>
          <w:szCs w:val="22"/>
        </w:rPr>
      </w:pPr>
    </w:p>
    <w:p w:rsidR="008C1B61" w:rsidRPr="00AB056E" w:rsidRDefault="008C1B61" w:rsidP="008C1B61">
      <w:pPr>
        <w:adjustRightInd w:val="0"/>
        <w:jc w:val="both"/>
        <w:rPr>
          <w:rFonts w:ascii="Verdana" w:hAnsi="Verdana"/>
          <w:sz w:val="22"/>
          <w:szCs w:val="22"/>
        </w:rPr>
      </w:pPr>
      <w:r>
        <w:rPr>
          <w:rFonts w:ascii="Verdana" w:hAnsi="Verdana"/>
          <w:b/>
          <w:sz w:val="22"/>
          <w:szCs w:val="22"/>
        </w:rPr>
        <w:t xml:space="preserve">Parágrafo. </w:t>
      </w:r>
      <w:r>
        <w:rPr>
          <w:rFonts w:ascii="Verdana" w:hAnsi="Verdana"/>
          <w:sz w:val="22"/>
          <w:szCs w:val="22"/>
        </w:rPr>
        <w:t>E</w:t>
      </w:r>
      <w:r w:rsidRPr="00AB056E">
        <w:rPr>
          <w:rFonts w:ascii="Verdana" w:hAnsi="Verdana"/>
          <w:sz w:val="22"/>
          <w:szCs w:val="22"/>
        </w:rPr>
        <w:t>l superior jerárquico de las autoridades enun</w:t>
      </w:r>
      <w:r>
        <w:rPr>
          <w:rFonts w:ascii="Verdana" w:hAnsi="Verdana"/>
          <w:sz w:val="22"/>
          <w:szCs w:val="22"/>
        </w:rPr>
        <w:t xml:space="preserve">ciadas en el presente artículo es </w:t>
      </w:r>
      <w:r w:rsidRPr="00AB056E">
        <w:rPr>
          <w:rFonts w:ascii="Verdana" w:hAnsi="Verdana"/>
          <w:sz w:val="22"/>
          <w:szCs w:val="22"/>
        </w:rPr>
        <w:t>l</w:t>
      </w:r>
      <w:r w:rsidR="00DF2FDD">
        <w:rPr>
          <w:rFonts w:ascii="Verdana" w:hAnsi="Verdana"/>
          <w:sz w:val="22"/>
          <w:szCs w:val="22"/>
        </w:rPr>
        <w:t>a</w:t>
      </w:r>
      <w:r w:rsidRPr="00AB056E">
        <w:rPr>
          <w:rFonts w:ascii="Verdana" w:hAnsi="Verdana"/>
          <w:sz w:val="22"/>
          <w:szCs w:val="22"/>
        </w:rPr>
        <w:t xml:space="preserve"> </w:t>
      </w:r>
      <w:r w:rsidRPr="00AB056E">
        <w:rPr>
          <w:rFonts w:ascii="Verdana" w:hAnsi="Verdana"/>
          <w:color w:val="000000"/>
          <w:sz w:val="22"/>
          <w:szCs w:val="22"/>
          <w:lang w:eastAsia="es-CO"/>
        </w:rPr>
        <w:t>Secretar</w:t>
      </w:r>
      <w:r w:rsidR="00DF2FDD">
        <w:rPr>
          <w:rFonts w:ascii="Verdana" w:hAnsi="Verdana"/>
          <w:color w:val="000000"/>
          <w:sz w:val="22"/>
          <w:szCs w:val="22"/>
          <w:lang w:eastAsia="es-CO"/>
        </w:rPr>
        <w:t xml:space="preserve">ía </w:t>
      </w:r>
      <w:r w:rsidRPr="00AB056E">
        <w:rPr>
          <w:rFonts w:ascii="Verdana" w:hAnsi="Verdana"/>
          <w:color w:val="000000"/>
          <w:sz w:val="22"/>
          <w:szCs w:val="22"/>
          <w:lang w:eastAsia="es-CO"/>
        </w:rPr>
        <w:t>General</w:t>
      </w:r>
      <w:r w:rsidRPr="00AB056E">
        <w:rPr>
          <w:rFonts w:ascii="Verdana" w:hAnsi="Verdana"/>
          <w:sz w:val="22"/>
          <w:szCs w:val="22"/>
        </w:rPr>
        <w:t>, responsable del seguimiento y control del cumplimiento de las órdenes judiciales por parte de los delegatarios.</w:t>
      </w:r>
    </w:p>
    <w:p w:rsidR="008C1B61" w:rsidRPr="00AB056E" w:rsidRDefault="008C1B61" w:rsidP="008C1B61">
      <w:pPr>
        <w:adjustRightInd w:val="0"/>
        <w:jc w:val="both"/>
        <w:rPr>
          <w:rFonts w:ascii="Verdana" w:hAnsi="Verdana"/>
          <w:sz w:val="22"/>
          <w:szCs w:val="22"/>
        </w:rPr>
      </w:pPr>
      <w:r w:rsidRPr="00AB056E">
        <w:rPr>
          <w:rFonts w:ascii="Verdana" w:hAnsi="Verdana"/>
          <w:sz w:val="22"/>
          <w:szCs w:val="22"/>
        </w:rPr>
        <w:t xml:space="preserve"> </w:t>
      </w:r>
    </w:p>
    <w:p w:rsidR="008C1B61" w:rsidRPr="00AB056E" w:rsidRDefault="008C1B61" w:rsidP="008C1B61">
      <w:pPr>
        <w:adjustRightInd w:val="0"/>
        <w:jc w:val="both"/>
        <w:rPr>
          <w:rFonts w:ascii="Verdana" w:hAnsi="Verdana"/>
          <w:sz w:val="22"/>
          <w:szCs w:val="22"/>
        </w:rPr>
      </w:pPr>
      <w:r w:rsidRPr="00AB056E">
        <w:rPr>
          <w:rFonts w:ascii="Verdana" w:hAnsi="Verdana"/>
          <w:b/>
          <w:sz w:val="22"/>
          <w:szCs w:val="22"/>
        </w:rPr>
        <w:t xml:space="preserve">Artículo 4. </w:t>
      </w:r>
      <w:r w:rsidRPr="00AB056E">
        <w:rPr>
          <w:rFonts w:ascii="Verdana" w:hAnsi="Verdana"/>
          <w:sz w:val="22"/>
          <w:szCs w:val="22"/>
        </w:rPr>
        <w:t xml:space="preserve">Incorpórese dentro de la función delegada, la de rendir informes sobre el cumplimiento de las órdenes judiciales, los cuales deberán ser entregados oportunamente a la Oficina Asesora Jurídica del Departamento Administrativo para la Prosperidad Social, para su remisión a los despachos judiciales y entes de control. </w:t>
      </w:r>
    </w:p>
    <w:p w:rsidR="008C1B61" w:rsidRPr="00AB056E" w:rsidRDefault="008C1B61" w:rsidP="008C1B61">
      <w:pPr>
        <w:tabs>
          <w:tab w:val="left" w:pos="2985"/>
        </w:tabs>
        <w:adjustRightInd w:val="0"/>
        <w:jc w:val="both"/>
        <w:rPr>
          <w:rFonts w:ascii="Verdana" w:hAnsi="Verdana"/>
          <w:sz w:val="22"/>
          <w:szCs w:val="22"/>
        </w:rPr>
      </w:pPr>
      <w:r w:rsidRPr="00AB056E">
        <w:rPr>
          <w:rFonts w:ascii="Verdana" w:hAnsi="Verdana"/>
          <w:sz w:val="22"/>
          <w:szCs w:val="22"/>
        </w:rPr>
        <w:tab/>
      </w:r>
    </w:p>
    <w:p w:rsidR="00916896" w:rsidRPr="00916896" w:rsidRDefault="008C1B61" w:rsidP="008C1B61">
      <w:pPr>
        <w:adjustRightInd w:val="0"/>
        <w:jc w:val="both"/>
        <w:rPr>
          <w:rFonts w:ascii="Verdana" w:hAnsi="Verdana"/>
          <w:sz w:val="22"/>
          <w:szCs w:val="22"/>
        </w:rPr>
      </w:pPr>
      <w:r w:rsidRPr="00AB056E">
        <w:rPr>
          <w:rFonts w:ascii="Verdana" w:hAnsi="Verdana"/>
          <w:b/>
          <w:sz w:val="22"/>
          <w:szCs w:val="22"/>
        </w:rPr>
        <w:t xml:space="preserve">Artículo 5. </w:t>
      </w:r>
      <w:r w:rsidR="00916896" w:rsidRPr="00916896">
        <w:rPr>
          <w:rFonts w:ascii="Verdana" w:hAnsi="Verdana"/>
          <w:sz w:val="22"/>
          <w:szCs w:val="22"/>
        </w:rPr>
        <w:t>Cuando</w:t>
      </w:r>
      <w:r w:rsidR="00916896">
        <w:rPr>
          <w:rFonts w:ascii="Verdana" w:hAnsi="Verdana"/>
          <w:b/>
          <w:sz w:val="22"/>
          <w:szCs w:val="22"/>
        </w:rPr>
        <w:t xml:space="preserve"> </w:t>
      </w:r>
      <w:r w:rsidR="00916896">
        <w:rPr>
          <w:rFonts w:ascii="Verdana" w:hAnsi="Verdana"/>
          <w:sz w:val="22"/>
          <w:szCs w:val="22"/>
        </w:rPr>
        <w:t>las órdenes judiciales favorezcan a personas que no cumplan con los requisitos para acceder a los programas que hacen parte de la oferta social a cargo de la Entidad, las Direcciones Técnicas Misionales deberán establecer alternativas o proyectos especiales de inclusión para acatar cabalmente los fallos judiciales.</w:t>
      </w:r>
    </w:p>
    <w:p w:rsidR="00916896" w:rsidRDefault="00916896" w:rsidP="008C1B61">
      <w:pPr>
        <w:adjustRightInd w:val="0"/>
        <w:jc w:val="both"/>
        <w:rPr>
          <w:rFonts w:ascii="Verdana" w:hAnsi="Verdana"/>
          <w:b/>
          <w:sz w:val="22"/>
          <w:szCs w:val="22"/>
        </w:rPr>
      </w:pPr>
    </w:p>
    <w:p w:rsidR="00916896" w:rsidRDefault="00916896" w:rsidP="008C1B61">
      <w:pPr>
        <w:adjustRightInd w:val="0"/>
        <w:jc w:val="both"/>
        <w:rPr>
          <w:rFonts w:ascii="Verdana" w:hAnsi="Verdana"/>
          <w:b/>
          <w:sz w:val="22"/>
          <w:szCs w:val="22"/>
        </w:rPr>
      </w:pPr>
    </w:p>
    <w:p w:rsidR="00916896" w:rsidRDefault="00916896" w:rsidP="008C1B61">
      <w:pPr>
        <w:adjustRightInd w:val="0"/>
        <w:jc w:val="both"/>
        <w:rPr>
          <w:rFonts w:ascii="Verdana" w:hAnsi="Verdana"/>
          <w:b/>
          <w:sz w:val="22"/>
          <w:szCs w:val="22"/>
        </w:rPr>
      </w:pPr>
    </w:p>
    <w:p w:rsidR="00916896" w:rsidRDefault="00916896" w:rsidP="008C1B61">
      <w:pPr>
        <w:adjustRightInd w:val="0"/>
        <w:jc w:val="both"/>
        <w:rPr>
          <w:rFonts w:ascii="Verdana" w:hAnsi="Verdana"/>
          <w:b/>
          <w:sz w:val="22"/>
          <w:szCs w:val="22"/>
        </w:rPr>
      </w:pPr>
    </w:p>
    <w:p w:rsidR="00916896" w:rsidRDefault="00916896" w:rsidP="008C1B61">
      <w:pPr>
        <w:adjustRightInd w:val="0"/>
        <w:jc w:val="both"/>
        <w:rPr>
          <w:rFonts w:ascii="Verdana" w:hAnsi="Verdana"/>
          <w:b/>
          <w:sz w:val="22"/>
          <w:szCs w:val="22"/>
        </w:rPr>
      </w:pPr>
    </w:p>
    <w:p w:rsidR="008C1B61" w:rsidRPr="00AB056E" w:rsidRDefault="00916896" w:rsidP="008C1B61">
      <w:pPr>
        <w:adjustRightInd w:val="0"/>
        <w:jc w:val="both"/>
        <w:rPr>
          <w:rFonts w:ascii="Verdana" w:hAnsi="Verdana"/>
          <w:color w:val="000000"/>
          <w:sz w:val="22"/>
          <w:szCs w:val="22"/>
          <w:lang w:eastAsia="es-CO"/>
        </w:rPr>
      </w:pPr>
      <w:r w:rsidRPr="00AB056E">
        <w:rPr>
          <w:rFonts w:ascii="Verdana" w:hAnsi="Verdana"/>
          <w:b/>
          <w:sz w:val="22"/>
          <w:szCs w:val="22"/>
        </w:rPr>
        <w:t xml:space="preserve">Artículo </w:t>
      </w:r>
      <w:r>
        <w:rPr>
          <w:rFonts w:ascii="Verdana" w:hAnsi="Verdana"/>
          <w:b/>
          <w:sz w:val="22"/>
          <w:szCs w:val="22"/>
        </w:rPr>
        <w:t>6</w:t>
      </w:r>
      <w:r w:rsidRPr="00AB056E">
        <w:rPr>
          <w:rFonts w:ascii="Verdana" w:hAnsi="Verdana"/>
          <w:b/>
          <w:sz w:val="22"/>
          <w:szCs w:val="22"/>
        </w:rPr>
        <w:t>.</w:t>
      </w:r>
      <w:r>
        <w:rPr>
          <w:rFonts w:ascii="Verdana" w:hAnsi="Verdana"/>
          <w:b/>
          <w:sz w:val="22"/>
          <w:szCs w:val="22"/>
        </w:rPr>
        <w:t xml:space="preserve"> </w:t>
      </w:r>
      <w:r w:rsidR="008C1B61" w:rsidRPr="00AB056E">
        <w:rPr>
          <w:rFonts w:ascii="Verdana" w:hAnsi="Verdana"/>
          <w:color w:val="000000"/>
          <w:sz w:val="22"/>
          <w:szCs w:val="22"/>
          <w:lang w:eastAsia="es-CO"/>
        </w:rPr>
        <w:t xml:space="preserve">La presente Resolución rige a </w:t>
      </w:r>
      <w:r w:rsidR="008C1B61" w:rsidRPr="00AB056E">
        <w:rPr>
          <w:rFonts w:ascii="Verdana" w:hAnsi="Verdana"/>
          <w:bCs/>
          <w:color w:val="000000"/>
          <w:sz w:val="22"/>
          <w:szCs w:val="22"/>
          <w:lang w:eastAsia="es-CO"/>
        </w:rPr>
        <w:t xml:space="preserve">partir de la fecha de su </w:t>
      </w:r>
      <w:r w:rsidR="005C7949">
        <w:rPr>
          <w:rFonts w:ascii="Verdana" w:hAnsi="Verdana"/>
          <w:bCs/>
          <w:color w:val="000000"/>
          <w:sz w:val="22"/>
          <w:szCs w:val="22"/>
          <w:lang w:eastAsia="es-CO"/>
        </w:rPr>
        <w:t>publicación</w:t>
      </w:r>
      <w:r w:rsidR="005C7949" w:rsidRPr="00AB056E">
        <w:rPr>
          <w:rFonts w:ascii="Verdana" w:hAnsi="Verdana"/>
          <w:bCs/>
          <w:color w:val="000000"/>
          <w:sz w:val="22"/>
          <w:szCs w:val="22"/>
          <w:lang w:eastAsia="es-CO"/>
        </w:rPr>
        <w:t xml:space="preserve"> </w:t>
      </w:r>
      <w:r w:rsidR="008C1B61" w:rsidRPr="00AB056E">
        <w:rPr>
          <w:rFonts w:ascii="Verdana" w:hAnsi="Verdana"/>
          <w:bCs/>
          <w:color w:val="000000"/>
          <w:sz w:val="22"/>
          <w:szCs w:val="22"/>
          <w:lang w:eastAsia="es-CO"/>
        </w:rPr>
        <w:t xml:space="preserve">y deroga las disposiciones que le sean contrarias, en especial la </w:t>
      </w:r>
      <w:r w:rsidR="008C1B61" w:rsidRPr="008C3D1C">
        <w:rPr>
          <w:rFonts w:ascii="Verdana" w:hAnsi="Verdana"/>
          <w:bCs/>
          <w:color w:val="000000"/>
          <w:sz w:val="22"/>
          <w:szCs w:val="22"/>
          <w:lang w:eastAsia="es-CO"/>
        </w:rPr>
        <w:t>Resolución 0</w:t>
      </w:r>
      <w:r w:rsidR="0065171C">
        <w:rPr>
          <w:rFonts w:ascii="Verdana" w:hAnsi="Verdana"/>
          <w:bCs/>
          <w:color w:val="000000"/>
          <w:sz w:val="22"/>
          <w:szCs w:val="22"/>
          <w:lang w:eastAsia="es-CO"/>
        </w:rPr>
        <w:t>3724</w:t>
      </w:r>
      <w:r w:rsidR="008C1B61" w:rsidRPr="008C3D1C">
        <w:rPr>
          <w:rFonts w:ascii="Verdana" w:hAnsi="Verdana"/>
          <w:bCs/>
          <w:color w:val="000000"/>
          <w:sz w:val="22"/>
          <w:szCs w:val="22"/>
          <w:lang w:eastAsia="es-CO"/>
        </w:rPr>
        <w:t xml:space="preserve"> del 2</w:t>
      </w:r>
      <w:r w:rsidR="0065171C">
        <w:rPr>
          <w:rFonts w:ascii="Verdana" w:hAnsi="Verdana"/>
          <w:bCs/>
          <w:color w:val="000000"/>
          <w:sz w:val="22"/>
          <w:szCs w:val="22"/>
          <w:lang w:eastAsia="es-CO"/>
        </w:rPr>
        <w:t>3</w:t>
      </w:r>
      <w:r w:rsidR="008C1B61" w:rsidRPr="008C3D1C">
        <w:rPr>
          <w:rFonts w:ascii="Verdana" w:hAnsi="Verdana"/>
          <w:bCs/>
          <w:color w:val="000000"/>
          <w:sz w:val="22"/>
          <w:szCs w:val="22"/>
          <w:lang w:eastAsia="es-CO"/>
        </w:rPr>
        <w:t xml:space="preserve"> de </w:t>
      </w:r>
      <w:r w:rsidR="0065171C">
        <w:rPr>
          <w:rFonts w:ascii="Verdana" w:hAnsi="Verdana"/>
          <w:bCs/>
          <w:color w:val="000000"/>
          <w:sz w:val="22"/>
          <w:szCs w:val="22"/>
          <w:lang w:eastAsia="es-CO"/>
        </w:rPr>
        <w:t>diciembre</w:t>
      </w:r>
      <w:r w:rsidR="008C1B61" w:rsidRPr="008C3D1C">
        <w:rPr>
          <w:rFonts w:ascii="Verdana" w:hAnsi="Verdana"/>
          <w:bCs/>
          <w:color w:val="000000"/>
          <w:sz w:val="22"/>
          <w:szCs w:val="22"/>
          <w:lang w:eastAsia="es-CO"/>
        </w:rPr>
        <w:t xml:space="preserve"> de 2016.</w:t>
      </w:r>
    </w:p>
    <w:p w:rsidR="008C1B61" w:rsidRDefault="008C1B61" w:rsidP="008C1B61">
      <w:pPr>
        <w:adjustRightInd w:val="0"/>
        <w:jc w:val="both"/>
        <w:rPr>
          <w:rFonts w:ascii="Verdana" w:hAnsi="Verdana"/>
          <w:color w:val="000000"/>
          <w:sz w:val="22"/>
          <w:szCs w:val="22"/>
        </w:rPr>
      </w:pPr>
    </w:p>
    <w:p w:rsidR="007D4C14" w:rsidRDefault="007D4C14" w:rsidP="008C1B61">
      <w:pPr>
        <w:adjustRightInd w:val="0"/>
        <w:jc w:val="both"/>
        <w:rPr>
          <w:rFonts w:ascii="Verdana" w:hAnsi="Verdana"/>
          <w:color w:val="000000"/>
          <w:sz w:val="22"/>
          <w:szCs w:val="22"/>
        </w:rPr>
      </w:pPr>
    </w:p>
    <w:p w:rsidR="007D4C14" w:rsidRPr="00AB056E" w:rsidRDefault="007D4C14" w:rsidP="008C1B61">
      <w:pPr>
        <w:adjustRightInd w:val="0"/>
        <w:jc w:val="both"/>
        <w:rPr>
          <w:rFonts w:ascii="Verdana" w:hAnsi="Verdana"/>
          <w:color w:val="000000"/>
          <w:sz w:val="22"/>
          <w:szCs w:val="22"/>
        </w:rPr>
      </w:pPr>
    </w:p>
    <w:p w:rsidR="008C1B61" w:rsidRPr="008C3D1C" w:rsidRDefault="008C1B61" w:rsidP="008C1B61">
      <w:pPr>
        <w:tabs>
          <w:tab w:val="left" w:pos="-720"/>
          <w:tab w:val="left" w:pos="11624"/>
        </w:tabs>
        <w:suppressAutoHyphens/>
        <w:ind w:left="426" w:right="356"/>
        <w:jc w:val="center"/>
        <w:rPr>
          <w:rFonts w:ascii="Verdana" w:hAnsi="Verdana"/>
          <w:b/>
          <w:bCs/>
          <w:spacing w:val="-2"/>
          <w:sz w:val="22"/>
          <w:szCs w:val="22"/>
        </w:rPr>
      </w:pPr>
      <w:r w:rsidRPr="00CF3D33">
        <w:rPr>
          <w:rFonts w:ascii="Verdana" w:hAnsi="Verdana"/>
          <w:b/>
          <w:bCs/>
          <w:spacing w:val="-2"/>
        </w:rPr>
        <w:t xml:space="preserve"> </w:t>
      </w:r>
      <w:r w:rsidRPr="008C3D1C">
        <w:rPr>
          <w:rFonts w:ascii="Verdana" w:hAnsi="Verdana"/>
          <w:b/>
          <w:bCs/>
          <w:spacing w:val="-2"/>
          <w:sz w:val="22"/>
          <w:szCs w:val="22"/>
        </w:rPr>
        <w:t>PUBLÍQUESE, COMUNÍQUESE Y CUMPLASE</w:t>
      </w:r>
    </w:p>
    <w:p w:rsidR="008C1B61" w:rsidRDefault="008C1B61" w:rsidP="008C1B61">
      <w:pPr>
        <w:adjustRightInd w:val="0"/>
        <w:rPr>
          <w:rFonts w:ascii="Verdana" w:hAnsi="Verdana"/>
          <w:b/>
          <w:color w:val="000000"/>
          <w:sz w:val="22"/>
          <w:szCs w:val="22"/>
        </w:rPr>
      </w:pPr>
    </w:p>
    <w:p w:rsidR="007D4C14" w:rsidRDefault="007D4C14" w:rsidP="008C1B61">
      <w:pPr>
        <w:adjustRightInd w:val="0"/>
        <w:rPr>
          <w:rFonts w:ascii="Verdana" w:hAnsi="Verdana"/>
          <w:b/>
          <w:color w:val="000000"/>
          <w:sz w:val="22"/>
          <w:szCs w:val="22"/>
        </w:rPr>
      </w:pPr>
    </w:p>
    <w:p w:rsidR="007D4C14" w:rsidRPr="008C3D1C" w:rsidRDefault="007D4C14" w:rsidP="008C1B61">
      <w:pPr>
        <w:adjustRightInd w:val="0"/>
        <w:rPr>
          <w:rFonts w:ascii="Verdana" w:hAnsi="Verdana"/>
          <w:b/>
          <w:color w:val="000000"/>
          <w:sz w:val="22"/>
          <w:szCs w:val="22"/>
        </w:rPr>
      </w:pPr>
    </w:p>
    <w:p w:rsidR="008C1B61" w:rsidRPr="008C3D1C" w:rsidRDefault="008C1B61" w:rsidP="008C1B61">
      <w:pPr>
        <w:adjustRightInd w:val="0"/>
        <w:jc w:val="center"/>
        <w:rPr>
          <w:rFonts w:ascii="Verdana" w:hAnsi="Verdana"/>
          <w:b/>
          <w:color w:val="000000"/>
          <w:sz w:val="22"/>
          <w:szCs w:val="22"/>
        </w:rPr>
      </w:pPr>
    </w:p>
    <w:p w:rsidR="008C1B61" w:rsidRPr="008C3D1C" w:rsidRDefault="00CA419C" w:rsidP="008C1B61">
      <w:pPr>
        <w:adjustRightInd w:val="0"/>
        <w:jc w:val="center"/>
        <w:rPr>
          <w:rFonts w:ascii="Verdana" w:hAnsi="Verdana"/>
          <w:b/>
          <w:color w:val="000000"/>
          <w:sz w:val="22"/>
          <w:szCs w:val="22"/>
        </w:rPr>
      </w:pPr>
      <w:r>
        <w:rPr>
          <w:rFonts w:ascii="Verdana" w:hAnsi="Verdana"/>
          <w:b/>
          <w:color w:val="000000"/>
          <w:sz w:val="22"/>
          <w:szCs w:val="22"/>
        </w:rPr>
        <w:t>SUSANA CORREA BORRERO</w:t>
      </w:r>
    </w:p>
    <w:p w:rsidR="00CA419C" w:rsidRDefault="00CA419C" w:rsidP="008C1B61">
      <w:pPr>
        <w:adjustRightInd w:val="0"/>
        <w:jc w:val="both"/>
        <w:rPr>
          <w:rFonts w:ascii="Verdana" w:hAnsi="Verdana"/>
          <w:i/>
          <w:color w:val="000000"/>
          <w:sz w:val="14"/>
          <w:szCs w:val="16"/>
        </w:rPr>
      </w:pPr>
    </w:p>
    <w:p w:rsidR="007D4C14" w:rsidRDefault="007D4C14" w:rsidP="008C1B61">
      <w:pPr>
        <w:adjustRightInd w:val="0"/>
        <w:jc w:val="both"/>
        <w:rPr>
          <w:rFonts w:ascii="Verdana" w:hAnsi="Verdana"/>
          <w:i/>
          <w:color w:val="000000"/>
          <w:sz w:val="14"/>
          <w:szCs w:val="16"/>
        </w:rPr>
      </w:pPr>
    </w:p>
    <w:p w:rsidR="008C1B61" w:rsidRDefault="008C1B61" w:rsidP="008C1B61">
      <w:pPr>
        <w:adjustRightInd w:val="0"/>
        <w:jc w:val="both"/>
        <w:rPr>
          <w:rFonts w:ascii="Verdana" w:hAnsi="Verdana"/>
          <w:i/>
          <w:color w:val="000000"/>
          <w:sz w:val="14"/>
          <w:szCs w:val="16"/>
        </w:rPr>
      </w:pPr>
      <w:r w:rsidRPr="003D2C87">
        <w:rPr>
          <w:rFonts w:ascii="Verdana" w:hAnsi="Verdana"/>
          <w:i/>
          <w:color w:val="000000"/>
          <w:sz w:val="14"/>
          <w:szCs w:val="16"/>
        </w:rPr>
        <w:t xml:space="preserve">Proyectó: </w:t>
      </w:r>
      <w:r w:rsidR="00CA419C">
        <w:rPr>
          <w:rFonts w:ascii="Verdana" w:hAnsi="Verdana"/>
          <w:i/>
          <w:color w:val="000000"/>
          <w:sz w:val="14"/>
          <w:szCs w:val="16"/>
        </w:rPr>
        <w:t>Omar B</w:t>
      </w:r>
      <w:r>
        <w:rPr>
          <w:rFonts w:ascii="Verdana" w:hAnsi="Verdana"/>
          <w:i/>
          <w:color w:val="000000"/>
          <w:sz w:val="14"/>
          <w:szCs w:val="16"/>
        </w:rPr>
        <w:t>.</w:t>
      </w:r>
    </w:p>
    <w:p w:rsidR="008C1B61" w:rsidRDefault="008C1B61" w:rsidP="008C1B61">
      <w:pPr>
        <w:adjustRightInd w:val="0"/>
        <w:jc w:val="both"/>
        <w:rPr>
          <w:rFonts w:ascii="Verdana" w:hAnsi="Verdana"/>
          <w:i/>
          <w:color w:val="000000"/>
          <w:sz w:val="14"/>
          <w:szCs w:val="16"/>
        </w:rPr>
      </w:pPr>
      <w:r>
        <w:rPr>
          <w:rFonts w:ascii="Verdana" w:hAnsi="Verdana"/>
          <w:i/>
          <w:color w:val="000000"/>
          <w:sz w:val="14"/>
          <w:szCs w:val="16"/>
        </w:rPr>
        <w:t>Aprobó: Lucy Edrey Acevedo Meneses</w:t>
      </w:r>
    </w:p>
    <w:p w:rsidR="008C1B61" w:rsidRPr="00F353C0" w:rsidRDefault="008C1B61" w:rsidP="00872058">
      <w:pPr>
        <w:adjustRightInd w:val="0"/>
        <w:jc w:val="both"/>
        <w:rPr>
          <w:rFonts w:ascii="Century Gothic" w:hAnsi="Century Gothic" w:cs="Arial"/>
          <w:b/>
          <w:bCs/>
          <w:spacing w:val="-3"/>
          <w:sz w:val="22"/>
          <w:szCs w:val="22"/>
        </w:rPr>
      </w:pPr>
      <w:r w:rsidRPr="003D2C87">
        <w:rPr>
          <w:rFonts w:ascii="Verdana" w:hAnsi="Verdana"/>
          <w:i/>
          <w:color w:val="000000"/>
          <w:sz w:val="14"/>
          <w:szCs w:val="16"/>
        </w:rPr>
        <w:t xml:space="preserve">Revisó: Secretaria General </w:t>
      </w:r>
    </w:p>
    <w:sectPr w:rsidR="008C1B61" w:rsidRPr="00F353C0" w:rsidSect="0048357B">
      <w:headerReference w:type="default" r:id="rId6"/>
      <w:footerReference w:type="default" r:id="rId7"/>
      <w:pgSz w:w="12242" w:h="18722" w:code="159"/>
      <w:pgMar w:top="920" w:right="680" w:bottom="426" w:left="680" w:header="567" w:footer="475" w:gutter="0"/>
      <w:pgBorders>
        <w:top w:val="double" w:sz="12" w:space="1" w:color="auto"/>
        <w:left w:val="double" w:sz="12" w:space="4" w:color="auto"/>
        <w:bottom w:val="double" w:sz="12" w:space="1" w:color="auto"/>
        <w:right w:val="double" w:sz="12" w:space="4" w:color="auto"/>
      </w:pgBorders>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754" w:rsidRDefault="00784754" w:rsidP="008C1B61">
      <w:r>
        <w:separator/>
      </w:r>
    </w:p>
  </w:endnote>
  <w:endnote w:type="continuationSeparator" w:id="0">
    <w:p w:rsidR="00784754" w:rsidRDefault="00784754" w:rsidP="008C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94" w:rsidRDefault="00EE18E3" w:rsidP="009F1294">
    <w:pPr>
      <w:pStyle w:val="Piedepgina"/>
      <w:jc w:val="right"/>
      <w:rPr>
        <w:rFonts w:ascii="Verdana" w:hAnsi="Verdana"/>
        <w:sz w:val="16"/>
        <w:szCs w:val="16"/>
      </w:rPr>
    </w:pPr>
  </w:p>
  <w:p w:rsidR="00325C44" w:rsidRPr="009F1294" w:rsidRDefault="00784754" w:rsidP="009F1294">
    <w:pPr>
      <w:pStyle w:val="Piedepgina"/>
      <w:jc w:val="right"/>
      <w:rPr>
        <w:rFonts w:ascii="Verdana" w:hAnsi="Verdana"/>
      </w:rPr>
    </w:pPr>
    <w:r w:rsidRPr="009F1294">
      <w:rPr>
        <w:rFonts w:ascii="Verdana" w:hAnsi="Verdana"/>
        <w:sz w:val="16"/>
        <w:szCs w:val="16"/>
      </w:rPr>
      <w:t xml:space="preserve">Página </w:t>
    </w:r>
    <w:r w:rsidRPr="009F1294">
      <w:rPr>
        <w:rFonts w:ascii="Verdana" w:hAnsi="Verdana"/>
        <w:sz w:val="16"/>
        <w:szCs w:val="16"/>
      </w:rPr>
      <w:fldChar w:fldCharType="begin"/>
    </w:r>
    <w:r w:rsidRPr="009F1294">
      <w:rPr>
        <w:rFonts w:ascii="Verdana" w:hAnsi="Verdana"/>
        <w:sz w:val="16"/>
        <w:szCs w:val="16"/>
      </w:rPr>
      <w:instrText>PAGE</w:instrText>
    </w:r>
    <w:r w:rsidRPr="009F1294">
      <w:rPr>
        <w:rFonts w:ascii="Verdana" w:hAnsi="Verdana"/>
        <w:sz w:val="16"/>
        <w:szCs w:val="16"/>
      </w:rPr>
      <w:fldChar w:fldCharType="separate"/>
    </w:r>
    <w:r w:rsidR="00EE18E3">
      <w:rPr>
        <w:rFonts w:ascii="Verdana" w:hAnsi="Verdana"/>
        <w:noProof/>
        <w:sz w:val="16"/>
        <w:szCs w:val="16"/>
      </w:rPr>
      <w:t>3</w:t>
    </w:r>
    <w:r w:rsidRPr="009F1294">
      <w:rPr>
        <w:rFonts w:ascii="Verdana" w:hAnsi="Verdana"/>
        <w:sz w:val="16"/>
        <w:szCs w:val="16"/>
      </w:rPr>
      <w:fldChar w:fldCharType="end"/>
    </w:r>
    <w:r w:rsidRPr="009F1294">
      <w:rPr>
        <w:rFonts w:ascii="Verdana" w:hAnsi="Verdana"/>
        <w:sz w:val="16"/>
        <w:szCs w:val="16"/>
      </w:rPr>
      <w:t xml:space="preserve"> de </w:t>
    </w:r>
    <w:r w:rsidRPr="009F1294">
      <w:rPr>
        <w:rFonts w:ascii="Verdana" w:hAnsi="Verdana"/>
        <w:sz w:val="16"/>
        <w:szCs w:val="16"/>
      </w:rPr>
      <w:fldChar w:fldCharType="begin"/>
    </w:r>
    <w:r w:rsidRPr="009F1294">
      <w:rPr>
        <w:rFonts w:ascii="Verdana" w:hAnsi="Verdana"/>
        <w:sz w:val="16"/>
        <w:szCs w:val="16"/>
      </w:rPr>
      <w:instrText>NUMPAGES</w:instrText>
    </w:r>
    <w:r w:rsidRPr="009F1294">
      <w:rPr>
        <w:rFonts w:ascii="Verdana" w:hAnsi="Verdana"/>
        <w:sz w:val="16"/>
        <w:szCs w:val="16"/>
      </w:rPr>
      <w:fldChar w:fldCharType="separate"/>
    </w:r>
    <w:r w:rsidR="00EE18E3">
      <w:rPr>
        <w:rFonts w:ascii="Verdana" w:hAnsi="Verdana"/>
        <w:noProof/>
        <w:sz w:val="16"/>
        <w:szCs w:val="16"/>
      </w:rPr>
      <w:t>3</w:t>
    </w:r>
    <w:r w:rsidRPr="009F1294">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754" w:rsidRDefault="00784754" w:rsidP="008C1B61">
      <w:r>
        <w:separator/>
      </w:r>
    </w:p>
  </w:footnote>
  <w:footnote w:type="continuationSeparator" w:id="0">
    <w:p w:rsidR="00784754" w:rsidRDefault="00784754" w:rsidP="008C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4" w:rsidRDefault="00EE18E3">
    <w:pPr>
      <w:pStyle w:val="Encabezado"/>
      <w:jc w:val="center"/>
      <w:rPr>
        <w:sz w:val="2"/>
        <w:szCs w:val="2"/>
      </w:rPr>
    </w:pPr>
  </w:p>
  <w:p w:rsidR="00DB4F89" w:rsidRDefault="00EE18E3" w:rsidP="00E83646">
    <w:pPr>
      <w:jc w:val="center"/>
      <w:rPr>
        <w:noProof/>
        <w:lang w:eastAsia="es-CO"/>
      </w:rPr>
    </w:pPr>
  </w:p>
  <w:p w:rsidR="008414C9" w:rsidRPr="00DB4F89" w:rsidRDefault="008C1B61" w:rsidP="00E83646">
    <w:pPr>
      <w:jc w:val="center"/>
    </w:pPr>
    <w:r w:rsidRPr="008F2FF8">
      <w:rPr>
        <w:noProof/>
        <w:lang w:eastAsia="es-CO"/>
      </w:rPr>
      <w:drawing>
        <wp:inline distT="0" distB="0" distL="0" distR="0">
          <wp:extent cx="4592955" cy="446405"/>
          <wp:effectExtent l="0" t="0" r="0" b="0"/>
          <wp:docPr id="1" name="Imagen 1" descr="http://www.prosperidadsocial.gov.co/AlDia/Documents/logo%20PS%20con%20gobierno%20de%20colo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prosperidadsocial.gov.co/AlDia/Documents/logo%20PS%20con%20gobierno%20de%20colomb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2955" cy="446405"/>
                  </a:xfrm>
                  <a:prstGeom prst="rect">
                    <a:avLst/>
                  </a:prstGeom>
                  <a:noFill/>
                  <a:ln>
                    <a:noFill/>
                  </a:ln>
                </pic:spPr>
              </pic:pic>
            </a:graphicData>
          </a:graphic>
        </wp:inline>
      </w:drawing>
    </w:r>
  </w:p>
  <w:p w:rsidR="00DB4F89" w:rsidRDefault="00EE18E3" w:rsidP="008414C9">
    <w:pPr>
      <w:tabs>
        <w:tab w:val="left" w:pos="9193"/>
      </w:tabs>
      <w:adjustRightInd w:val="0"/>
      <w:jc w:val="center"/>
      <w:rPr>
        <w:rFonts w:ascii="Verdana" w:hAnsi="Verdana"/>
        <w:b/>
        <w:bCs/>
        <w:sz w:val="21"/>
        <w:szCs w:val="21"/>
      </w:rPr>
    </w:pPr>
  </w:p>
  <w:p w:rsidR="008414C9" w:rsidRPr="00E83646" w:rsidRDefault="00784754" w:rsidP="008414C9">
    <w:pPr>
      <w:tabs>
        <w:tab w:val="left" w:pos="9193"/>
      </w:tabs>
      <w:adjustRightInd w:val="0"/>
      <w:jc w:val="center"/>
      <w:rPr>
        <w:rFonts w:ascii="Verdana" w:hAnsi="Verdana"/>
        <w:b/>
        <w:bCs/>
        <w:sz w:val="21"/>
        <w:szCs w:val="21"/>
      </w:rPr>
    </w:pPr>
    <w:r w:rsidRPr="00E83646">
      <w:rPr>
        <w:rFonts w:ascii="Verdana" w:hAnsi="Verdana"/>
        <w:b/>
        <w:bCs/>
        <w:sz w:val="21"/>
        <w:szCs w:val="21"/>
      </w:rPr>
      <w:t>RESOLUCIÓN No.                     DE</w:t>
    </w:r>
  </w:p>
  <w:p w:rsidR="00EA7414" w:rsidRDefault="00EE18E3" w:rsidP="00371EBD">
    <w:pPr>
      <w:widowControl/>
      <w:pBdr>
        <w:bottom w:val="single" w:sz="6" w:space="1" w:color="auto"/>
      </w:pBdr>
      <w:adjustRightInd w:val="0"/>
      <w:jc w:val="center"/>
      <w:rPr>
        <w:rFonts w:ascii="Verdana" w:hAnsi="Verdana"/>
        <w:i/>
        <w:sz w:val="21"/>
        <w:szCs w:val="21"/>
      </w:rPr>
    </w:pPr>
    <w:bookmarkStart w:id="1" w:name="_Hlk508790751"/>
  </w:p>
  <w:bookmarkEnd w:id="1"/>
  <w:p w:rsidR="00A221FF" w:rsidRDefault="008C1B61" w:rsidP="008C1B61">
    <w:pPr>
      <w:pBdr>
        <w:bottom w:val="single" w:sz="6" w:space="1" w:color="auto"/>
      </w:pBdr>
      <w:jc w:val="center"/>
      <w:rPr>
        <w:rFonts w:ascii="Verdana" w:hAnsi="Verdana"/>
        <w:sz w:val="22"/>
        <w:szCs w:val="22"/>
      </w:rPr>
    </w:pPr>
    <w:r w:rsidRPr="00D6736A">
      <w:rPr>
        <w:rFonts w:ascii="Verdana" w:hAnsi="Verdana" w:cs="Arial"/>
        <w:i/>
        <w:color w:val="000000"/>
        <w:sz w:val="22"/>
        <w:szCs w:val="22"/>
      </w:rPr>
      <w:t>“</w:t>
    </w:r>
    <w:r w:rsidRPr="00037374">
      <w:rPr>
        <w:rFonts w:ascii="Verdana" w:hAnsi="Verdana"/>
        <w:i/>
      </w:rPr>
      <w:t xml:space="preserve">Por la cual se delega el cumplimiento de las órdenes judiciales proferidas </w:t>
    </w:r>
    <w:r w:rsidR="00872058" w:rsidRPr="00872058">
      <w:rPr>
        <w:rFonts w:ascii="Verdana" w:hAnsi="Verdana"/>
        <w:i/>
      </w:rPr>
      <w:t xml:space="preserve">en contra del Departamento Administrativo para </w:t>
    </w:r>
    <w:r w:rsidR="00EE18E3">
      <w:rPr>
        <w:rFonts w:ascii="Verdana" w:hAnsi="Verdana"/>
        <w:i/>
      </w:rPr>
      <w:t xml:space="preserve">la </w:t>
    </w:r>
    <w:r w:rsidR="00872058" w:rsidRPr="00872058">
      <w:rPr>
        <w:rFonts w:ascii="Verdana" w:hAnsi="Verdana"/>
        <w:i/>
      </w:rPr>
      <w:t>Prosperidad Social dentro de las acciones constitucionales así como en los fallos expedidos en el marco del proceso de restitución de tierras regulado por la Ley 1448 de 2011</w:t>
    </w:r>
    <w:r>
      <w:rPr>
        <w:rFonts w:ascii="Verdana" w:hAnsi="Verdana"/>
        <w:sz w:val="22"/>
        <w:szCs w:val="22"/>
      </w:rPr>
      <w:t>”</w:t>
    </w:r>
  </w:p>
  <w:p w:rsidR="008C1B61" w:rsidRDefault="008C1B61" w:rsidP="008C1B61">
    <w:pPr>
      <w:pBdr>
        <w:bottom w:val="single" w:sz="6" w:space="1" w:color="auto"/>
      </w:pBdr>
      <w:jc w:val="center"/>
      <w:rPr>
        <w:rFonts w:ascii="Verdana" w:hAnsi="Verdana" w:cs="Arial"/>
        <w: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61"/>
    <w:rsid w:val="00004719"/>
    <w:rsid w:val="00013CBD"/>
    <w:rsid w:val="00020529"/>
    <w:rsid w:val="00081E5D"/>
    <w:rsid w:val="000919F4"/>
    <w:rsid w:val="001F6C97"/>
    <w:rsid w:val="00210B0E"/>
    <w:rsid w:val="002B02B7"/>
    <w:rsid w:val="00363A68"/>
    <w:rsid w:val="00390753"/>
    <w:rsid w:val="0039205C"/>
    <w:rsid w:val="00421D2E"/>
    <w:rsid w:val="004D4789"/>
    <w:rsid w:val="00500144"/>
    <w:rsid w:val="00555BB9"/>
    <w:rsid w:val="005C7949"/>
    <w:rsid w:val="005D1CD7"/>
    <w:rsid w:val="005F557F"/>
    <w:rsid w:val="00604C3C"/>
    <w:rsid w:val="0065171C"/>
    <w:rsid w:val="00655038"/>
    <w:rsid w:val="00734618"/>
    <w:rsid w:val="007803C0"/>
    <w:rsid w:val="00784754"/>
    <w:rsid w:val="00794C8A"/>
    <w:rsid w:val="007D4C14"/>
    <w:rsid w:val="007F7B9F"/>
    <w:rsid w:val="00840530"/>
    <w:rsid w:val="00867CEE"/>
    <w:rsid w:val="00872058"/>
    <w:rsid w:val="008C1B61"/>
    <w:rsid w:val="008C7792"/>
    <w:rsid w:val="008E2E4E"/>
    <w:rsid w:val="00916896"/>
    <w:rsid w:val="00943A60"/>
    <w:rsid w:val="009901BE"/>
    <w:rsid w:val="0099316C"/>
    <w:rsid w:val="009A5478"/>
    <w:rsid w:val="00A56A9D"/>
    <w:rsid w:val="00A9627C"/>
    <w:rsid w:val="00B00174"/>
    <w:rsid w:val="00B0068D"/>
    <w:rsid w:val="00B14C69"/>
    <w:rsid w:val="00B318FB"/>
    <w:rsid w:val="00B517E9"/>
    <w:rsid w:val="00B85A77"/>
    <w:rsid w:val="00C46EEF"/>
    <w:rsid w:val="00CA419C"/>
    <w:rsid w:val="00CC3BEC"/>
    <w:rsid w:val="00CF0A03"/>
    <w:rsid w:val="00D4398E"/>
    <w:rsid w:val="00DC32D1"/>
    <w:rsid w:val="00DF2FDD"/>
    <w:rsid w:val="00DF6A01"/>
    <w:rsid w:val="00EE18E3"/>
    <w:rsid w:val="00F21377"/>
    <w:rsid w:val="00F343B2"/>
    <w:rsid w:val="00F45037"/>
    <w:rsid w:val="00FB36C3"/>
    <w:rsid w:val="00FB5A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E939F3-9B94-4E48-B394-1AFA2284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61"/>
    <w:pPr>
      <w:widowControl w:val="0"/>
      <w:autoSpaceDE w:val="0"/>
      <w:autoSpaceDN w:val="0"/>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h18 Car Car Car Car Car Car Car Car,he,h18 Car Car Car Car Car Car Car,h18 Car Car Car,Alt Header"/>
    <w:basedOn w:val="Normal"/>
    <w:link w:val="EncabezadoCar"/>
    <w:rsid w:val="008C1B61"/>
    <w:pPr>
      <w:widowControl/>
      <w:tabs>
        <w:tab w:val="center" w:pos="4252"/>
        <w:tab w:val="right" w:pos="8504"/>
      </w:tabs>
      <w:autoSpaceDE/>
      <w:autoSpaceDN/>
    </w:pPr>
    <w:rPr>
      <w:rFonts w:ascii="Arial" w:hAnsi="Arial"/>
      <w:sz w:val="24"/>
      <w:szCs w:val="24"/>
    </w:rPr>
  </w:style>
  <w:style w:type="character" w:customStyle="1" w:styleId="EncabezadoCar">
    <w:name w:val="Encabezado Car"/>
    <w:aliases w:val="encabezado Car,h Car,h8 Car,h9 Car,h10 Car,h18 Car,h18 Car Car Car Car Car Car,h18 Car Car Car Car Car Car Car Car Car,he Car,h18 Car Car Car Car Car Car Car Car1,h18 Car Car Car Car,Alt Header Car"/>
    <w:basedOn w:val="Fuentedeprrafopredeter"/>
    <w:link w:val="Encabezado"/>
    <w:rsid w:val="008C1B61"/>
    <w:rPr>
      <w:rFonts w:ascii="Arial" w:eastAsia="Calibri" w:hAnsi="Arial" w:cs="Times New Roman"/>
      <w:sz w:val="24"/>
      <w:szCs w:val="24"/>
      <w:lang w:eastAsia="es-ES"/>
    </w:rPr>
  </w:style>
  <w:style w:type="paragraph" w:styleId="Piedepgina">
    <w:name w:val="footer"/>
    <w:basedOn w:val="Normal"/>
    <w:link w:val="PiedepginaCar"/>
    <w:uiPriority w:val="99"/>
    <w:rsid w:val="008C1B61"/>
    <w:pPr>
      <w:tabs>
        <w:tab w:val="center" w:pos="4419"/>
        <w:tab w:val="right" w:pos="8838"/>
      </w:tabs>
    </w:pPr>
  </w:style>
  <w:style w:type="character" w:customStyle="1" w:styleId="PiedepginaCar">
    <w:name w:val="Pie de página Car"/>
    <w:basedOn w:val="Fuentedeprrafopredeter"/>
    <w:link w:val="Piedepgina"/>
    <w:uiPriority w:val="99"/>
    <w:rsid w:val="008C1B61"/>
    <w:rPr>
      <w:rFonts w:ascii="Times New Roman" w:eastAsia="Calibri" w:hAnsi="Times New Roman" w:cs="Times New Roman"/>
      <w:sz w:val="20"/>
      <w:szCs w:val="20"/>
      <w:lang w:eastAsia="es-ES"/>
    </w:rPr>
  </w:style>
  <w:style w:type="paragraph" w:customStyle="1" w:styleId="textonormal">
    <w:name w:val="textonormal"/>
    <w:basedOn w:val="Normal"/>
    <w:rsid w:val="008C1B61"/>
    <w:pPr>
      <w:widowControl/>
      <w:autoSpaceDE/>
      <w:autoSpaceDN/>
      <w:spacing w:line="360" w:lineRule="auto"/>
      <w:jc w:val="both"/>
    </w:pPr>
    <w:rPr>
      <w:rFonts w:ascii="Arial" w:hAnsi="Arial" w:cs="Arial"/>
      <w:sz w:val="24"/>
      <w:szCs w:val="24"/>
      <w:lang w:eastAsia="es-CO"/>
    </w:rPr>
  </w:style>
  <w:style w:type="paragraph" w:styleId="Textodeglobo">
    <w:name w:val="Balloon Text"/>
    <w:basedOn w:val="Normal"/>
    <w:link w:val="TextodegloboCar"/>
    <w:uiPriority w:val="99"/>
    <w:semiHidden/>
    <w:unhideWhenUsed/>
    <w:rsid w:val="007D4C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C1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5c55e1-1529-428c-8c16-ada3460a0e7a">A65FJVFR3NAS-1618603028-799</_dlc_DocId>
    <_dlc_DocIdUrl xmlns="fe5c55e1-1529-428c-8c16-ada3460a0e7a">
      <Url>http://tame/_layouts/15/DocIdRedir.aspx?ID=A65FJVFR3NAS-1618603028-799</Url>
      <Description>A65FJVFR3NAS-1618603028-799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DC72A8C02970348AF50C73B0CB8D20A" ma:contentTypeVersion="3" ma:contentTypeDescription="Crear nuevo documento." ma:contentTypeScope="" ma:versionID="3dc6b3f265847cb27f1c9233c96eee16">
  <xsd:schema xmlns:xsd="http://www.w3.org/2001/XMLSchema" xmlns:xs="http://www.w3.org/2001/XMLSchema" xmlns:p="http://schemas.microsoft.com/office/2006/metadata/properties" xmlns:ns2="fe5c55e1-1529-428c-8c16-ada3460a0e7a" targetNamespace="http://schemas.microsoft.com/office/2006/metadata/properties" ma:root="true" ma:fieldsID="b38f1bdb34365186f6aef09c5b6fb140" ns2:_="">
    <xsd:import namespace="fe5c55e1-1529-428c-8c16-ada3460a0e7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c55e1-1529-428c-8c16-ada3460a0e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97CF3-461B-404B-8D75-0F85E1885D2C}"/>
</file>

<file path=customXml/itemProps2.xml><?xml version="1.0" encoding="utf-8"?>
<ds:datastoreItem xmlns:ds="http://schemas.openxmlformats.org/officeDocument/2006/customXml" ds:itemID="{B6E021C1-149C-45AC-A2A3-78E4FCE100E6}"/>
</file>

<file path=customXml/itemProps3.xml><?xml version="1.0" encoding="utf-8"?>
<ds:datastoreItem xmlns:ds="http://schemas.openxmlformats.org/officeDocument/2006/customXml" ds:itemID="{58CC02B8-6F3D-49A2-8D1F-1376755EFF17}"/>
</file>

<file path=customXml/itemProps4.xml><?xml version="1.0" encoding="utf-8"?>
<ds:datastoreItem xmlns:ds="http://schemas.openxmlformats.org/officeDocument/2006/customXml" ds:itemID="{D3369A11-D087-4C9F-BB57-6DB3BACDB62D}"/>
</file>

<file path=docProps/app.xml><?xml version="1.0" encoding="utf-8"?>
<Properties xmlns="http://schemas.openxmlformats.org/officeDocument/2006/extended-properties" xmlns:vt="http://schemas.openxmlformats.org/officeDocument/2006/docPropsVTypes">
  <Template>Normal</Template>
  <TotalTime>324</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Omar�Alberto Baron Avendano</dc:creator>
  <cp:keywords/>
  <dc:description/>
  <cp:lastModifiedBy>Omar�Alberto Baron Avendano</cp:lastModifiedBy>
  <cp:revision>12</cp:revision>
  <cp:lastPrinted>2018-09-26T20:34:00Z</cp:lastPrinted>
  <dcterms:created xsi:type="dcterms:W3CDTF">2018-09-26T17:01:00Z</dcterms:created>
  <dcterms:modified xsi:type="dcterms:W3CDTF">2018-09-27T15:55:00Z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0x0101002DC72A8C02970348AF50C73B0CB8D20A</vt:lpwstr>
  </property>
  <property fmtid="{D5CDD505-2E9C-101B-9397-08002B2CF9AE}" pid="3" name="_dlc_DocIdItemGuid">
    <vt:lpwstr>c6ea79dc-8aee-4207-87f4-bf4de48e7678</vt:lpwstr>
  </property>
</Properties>
</file>